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8CEEC" w14:textId="5608CCCD" w:rsidR="00B726A3" w:rsidRPr="009156E1" w:rsidRDefault="00342338" w:rsidP="009156E1">
      <w:pPr>
        <w:pStyle w:val="Heading1"/>
      </w:pPr>
      <w:r w:rsidRPr="009156E1">
        <w:t>Livestock CRP – Strategic Investment Fund</w:t>
      </w:r>
    </w:p>
    <w:p w14:paraId="2C46F00E" w14:textId="1A57D0B5" w:rsidR="00342338" w:rsidRPr="009156E1" w:rsidRDefault="00342338" w:rsidP="009156E1">
      <w:pPr>
        <w:pStyle w:val="Heading1"/>
      </w:pPr>
      <w:r w:rsidRPr="009156E1">
        <w:t>Start-up investment in Open Access (OA/OD) and Data Management (DM)</w:t>
      </w:r>
    </w:p>
    <w:p w14:paraId="25A4F513" w14:textId="577F97DE" w:rsidR="00C76C16" w:rsidRDefault="00C76C16" w:rsidP="00C76C16">
      <w:pPr>
        <w:rPr>
          <w:lang w:val="en-GB"/>
        </w:rPr>
      </w:pPr>
    </w:p>
    <w:p w14:paraId="24608397" w14:textId="092F65A9" w:rsidR="00C76C16" w:rsidRPr="00C76C16" w:rsidRDefault="00C76C16" w:rsidP="00C76C16">
      <w:pPr>
        <w:jc w:val="center"/>
        <w:rPr>
          <w:i/>
          <w:lang w:val="en-GB"/>
        </w:rPr>
      </w:pPr>
      <w:r w:rsidRPr="00C76C16">
        <w:rPr>
          <w:i/>
          <w:lang w:val="en-GB"/>
        </w:rPr>
        <w:t xml:space="preserve">Across the CRP, open access is normally a responsibility of CRP </w:t>
      </w:r>
      <w:r w:rsidR="00535E26">
        <w:rPr>
          <w:i/>
          <w:lang w:val="en-GB"/>
        </w:rPr>
        <w:t xml:space="preserve">strategic </w:t>
      </w:r>
      <w:r w:rsidRPr="00C76C16">
        <w:rPr>
          <w:i/>
          <w:lang w:val="en-GB"/>
        </w:rPr>
        <w:t xml:space="preserve">partners. They </w:t>
      </w:r>
      <w:r>
        <w:rPr>
          <w:i/>
          <w:lang w:val="en-GB"/>
        </w:rPr>
        <w:t xml:space="preserve">are expected to </w:t>
      </w:r>
      <w:r w:rsidRPr="00C76C16">
        <w:rPr>
          <w:i/>
          <w:lang w:val="en-GB"/>
        </w:rPr>
        <w:t>have their own tools, workflows, legal support, systems and platforms as well as expertise, institutional buy-in and budget to make it happen. The CRP judiciously exploits and extends the open content they generate by adding value, aggregating and synthesizing across part</w:t>
      </w:r>
      <w:r>
        <w:rPr>
          <w:i/>
          <w:lang w:val="en-GB"/>
        </w:rPr>
        <w:t>ners and amplifying the results (CRP proposal annex 3.8).</w:t>
      </w:r>
    </w:p>
    <w:p w14:paraId="757854F7" w14:textId="0F1F75BE" w:rsidR="00C76C16" w:rsidRDefault="00C76C16" w:rsidP="009A5D47">
      <w:pPr>
        <w:pStyle w:val="Heading2"/>
      </w:pPr>
    </w:p>
    <w:p w14:paraId="2E598903" w14:textId="7CE99743" w:rsidR="002E66BA" w:rsidRPr="009A5D47" w:rsidRDefault="00EF5E5C" w:rsidP="009A5D47">
      <w:pPr>
        <w:pStyle w:val="Heading2"/>
      </w:pPr>
      <w:r w:rsidRPr="009A5D47">
        <w:t xml:space="preserve">CRP </w:t>
      </w:r>
      <w:r w:rsidR="00151233">
        <w:t>Data, Data Product and Information Product Repositories</w:t>
      </w:r>
    </w:p>
    <w:p w14:paraId="3BEA06C4" w14:textId="319C5068" w:rsidR="002E66BA" w:rsidRDefault="00C76C16">
      <w:r>
        <w:t xml:space="preserve">As set out in its proposal, </w:t>
      </w:r>
      <w:r w:rsidR="00632690">
        <w:t>LIVESTOCK</w:t>
      </w:r>
      <w:r w:rsidR="00692A19">
        <w:t xml:space="preserve"> intends to be fully compliant with the CGIAR and partner open-access policies in </w:t>
      </w:r>
      <w:r w:rsidR="00781236">
        <w:t>terms of data</w:t>
      </w:r>
      <w:r>
        <w:t>,</w:t>
      </w:r>
      <w:r w:rsidR="00781236">
        <w:t xml:space="preserve"> data products</w:t>
      </w:r>
      <w:r>
        <w:t xml:space="preserve"> and information products</w:t>
      </w:r>
      <w:r w:rsidR="00781236">
        <w:t>;</w:t>
      </w:r>
      <w:r w:rsidR="00692A19">
        <w:t xml:space="preserve"> CGIAR policy requires full compliance by </w:t>
      </w:r>
      <w:r w:rsidR="00781236">
        <w:t>end of 2018.</w:t>
      </w:r>
      <w:r w:rsidR="00CD64BD">
        <w:t xml:space="preserve"> </w:t>
      </w:r>
      <w:r>
        <w:t>T</w:t>
      </w:r>
      <w:r w:rsidR="00CD64BD">
        <w:t>o achieve this</w:t>
      </w:r>
      <w:r w:rsidR="00632690">
        <w:t>, the Program will</w:t>
      </w:r>
      <w:r w:rsidR="00CD64BD">
        <w:t xml:space="preserve"> focus key resources into the systems and processes for making data</w:t>
      </w:r>
      <w:r w:rsidR="00DE0FB7">
        <w:t>,</w:t>
      </w:r>
      <w:r w:rsidR="00CD64BD">
        <w:t xml:space="preserve"> data products</w:t>
      </w:r>
      <w:r w:rsidR="00DE0FB7">
        <w:t xml:space="preserve"> and information products</w:t>
      </w:r>
      <w:r w:rsidR="00CD64BD">
        <w:t xml:space="preserve"> open-access.</w:t>
      </w:r>
      <w:r>
        <w:t xml:space="preserve"> </w:t>
      </w:r>
      <w:r w:rsidR="00632690">
        <w:t>It will also</w:t>
      </w:r>
      <w:r>
        <w:t xml:space="preserve"> invest in value-adding tools to help make the various products accessible and, where possible, aggregate and transform them to guide further analysis, communication and re-use.</w:t>
      </w:r>
    </w:p>
    <w:p w14:paraId="38A9F1F5" w14:textId="4140CC6F" w:rsidR="007B3F36" w:rsidRDefault="00535E26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663BA9CC" wp14:editId="13CCC586">
            <wp:simplePos x="0" y="0"/>
            <wp:positionH relativeFrom="margin">
              <wp:posOffset>3228975</wp:posOffset>
            </wp:positionH>
            <wp:positionV relativeFrom="margin">
              <wp:posOffset>4362450</wp:posOffset>
            </wp:positionV>
            <wp:extent cx="2412000" cy="3404870"/>
            <wp:effectExtent l="19050" t="19050" r="26670" b="241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00" r="21068"/>
                    <a:stretch/>
                  </pic:blipFill>
                  <pic:spPr bwMode="auto">
                    <a:xfrm>
                      <a:off x="0" y="0"/>
                      <a:ext cx="2412000" cy="3404870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rgbClr val="5B9BD5">
                          <a:lumMod val="5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76C16">
        <w:t xml:space="preserve">The </w:t>
      </w:r>
      <w:r w:rsidR="00632690">
        <w:t>default</w:t>
      </w:r>
      <w:r w:rsidR="00C76C16">
        <w:t xml:space="preserve"> </w:t>
      </w:r>
      <w:r w:rsidR="00273CC4">
        <w:t>is that</w:t>
      </w:r>
      <w:r w:rsidR="00C76C16">
        <w:t xml:space="preserve"> each </w:t>
      </w:r>
      <w:r w:rsidR="00DE0FB7">
        <w:t xml:space="preserve">strategic CRP </w:t>
      </w:r>
      <w:r w:rsidR="00C76C16">
        <w:t>partner</w:t>
      </w:r>
      <w:r w:rsidR="00DE0FB7">
        <w:t xml:space="preserve"> (ILRI, ICARDA, CIAT, SLU, GIZ)</w:t>
      </w:r>
      <w:r w:rsidR="00C76C16">
        <w:t xml:space="preserve"> takes responsibility for its own products, archiving and curating them to agreed standards</w:t>
      </w:r>
      <w:r w:rsidR="00E2748E">
        <w:t xml:space="preserve"> (such as CGC</w:t>
      </w:r>
      <w:r w:rsidR="00C76C16">
        <w:t xml:space="preserve">ore metadata) in robust and inter-operable open repositories and systems. This approach has been used successfully with information products and some data. </w:t>
      </w:r>
    </w:p>
    <w:p w14:paraId="1AF538A0" w14:textId="5D1CB341" w:rsidR="007B3F36" w:rsidRDefault="00DE0FB7">
      <w:r>
        <w:t xml:space="preserve">All products have, at least, meta-data entries in </w:t>
      </w:r>
      <w:r w:rsidR="00632690">
        <w:t>global ‘LIVESTOCK’ CRP meta-repositor</w:t>
      </w:r>
      <w:r>
        <w:t>ies</w:t>
      </w:r>
      <w:r w:rsidR="00632690">
        <w:t xml:space="preserve">. </w:t>
      </w:r>
    </w:p>
    <w:p w14:paraId="693BD1A1" w14:textId="3301709D" w:rsidR="007B3F36" w:rsidRDefault="00632690">
      <w:r>
        <w:t xml:space="preserve">Where a partner is unable to maintain its own repository, </w:t>
      </w:r>
      <w:r w:rsidR="00DE0FB7">
        <w:t xml:space="preserve">or prefers the lead centre to host, </w:t>
      </w:r>
      <w:r>
        <w:t xml:space="preserve">the data and products </w:t>
      </w:r>
      <w:r w:rsidR="00273CC4">
        <w:t>will</w:t>
      </w:r>
      <w:r>
        <w:t xml:space="preserve"> be hosted </w:t>
      </w:r>
      <w:r w:rsidR="00273CC4">
        <w:t>centrally</w:t>
      </w:r>
      <w:r w:rsidR="00DE0FB7">
        <w:t xml:space="preserve"> on ILRI repositories</w:t>
      </w:r>
      <w:r>
        <w:t xml:space="preserve">. </w:t>
      </w:r>
    </w:p>
    <w:p w14:paraId="09D2517A" w14:textId="4D4FDCEF" w:rsidR="002E66BA" w:rsidRDefault="00632690">
      <w:r>
        <w:t>For cross-partner and CRP-level products, the ILRI repositories (as lead center) will be used.</w:t>
      </w:r>
    </w:p>
    <w:p w14:paraId="3CEE22A2" w14:textId="77777777" w:rsidR="00535E26" w:rsidRDefault="00535E26"/>
    <w:p w14:paraId="16B36B2F" w14:textId="77777777" w:rsidR="00535E26" w:rsidRDefault="00535E26"/>
    <w:p w14:paraId="7C23A4BD" w14:textId="77777777" w:rsidR="00535E26" w:rsidRDefault="00535E26"/>
    <w:p w14:paraId="7E73EF7A" w14:textId="77777777" w:rsidR="00535E26" w:rsidRDefault="00535E26"/>
    <w:p w14:paraId="40B70F3C" w14:textId="77777777" w:rsidR="00535E26" w:rsidRDefault="00535E26"/>
    <w:p w14:paraId="31C26D8A" w14:textId="77777777" w:rsidR="00535E26" w:rsidRDefault="00535E26"/>
    <w:p w14:paraId="0AF10208" w14:textId="77777777" w:rsidR="00535E26" w:rsidRDefault="00535E26"/>
    <w:p w14:paraId="7B0D1B39" w14:textId="22E2F0BB" w:rsidR="002E66BA" w:rsidRDefault="002F15F1">
      <w:r>
        <w:lastRenderedPageBreak/>
        <w:t>Current status of open-data and data product repositories for CRP partners: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558"/>
        <w:gridCol w:w="1558"/>
        <w:gridCol w:w="1470"/>
        <w:gridCol w:w="1647"/>
        <w:gridCol w:w="1561"/>
        <w:gridCol w:w="1556"/>
      </w:tblGrid>
      <w:tr w:rsidR="007923DE" w14:paraId="59B1383E" w14:textId="4C702940" w:rsidTr="007923DE">
        <w:tc>
          <w:tcPr>
            <w:tcW w:w="833" w:type="pct"/>
          </w:tcPr>
          <w:p w14:paraId="48B36B2C" w14:textId="77777777" w:rsidR="007923DE" w:rsidRPr="002F15F1" w:rsidRDefault="007923DE">
            <w:pPr>
              <w:rPr>
                <w:b/>
              </w:rPr>
            </w:pPr>
          </w:p>
        </w:tc>
        <w:tc>
          <w:tcPr>
            <w:tcW w:w="3335" w:type="pct"/>
            <w:gridSpan w:val="4"/>
          </w:tcPr>
          <w:p w14:paraId="4288B7CB" w14:textId="0118CD54" w:rsidR="007923DE" w:rsidRPr="002F15F1" w:rsidRDefault="007923DE" w:rsidP="000270FC">
            <w:pPr>
              <w:rPr>
                <w:b/>
              </w:rPr>
            </w:pPr>
            <w:r w:rsidRPr="002F15F1">
              <w:rPr>
                <w:b/>
              </w:rPr>
              <w:t>Products (not including global repositories)</w:t>
            </w:r>
          </w:p>
        </w:tc>
        <w:tc>
          <w:tcPr>
            <w:tcW w:w="832" w:type="pct"/>
          </w:tcPr>
          <w:p w14:paraId="05EB6B5F" w14:textId="569BAB3F" w:rsidR="007923DE" w:rsidRPr="002F15F1" w:rsidRDefault="007923DE" w:rsidP="000270FC">
            <w:pPr>
              <w:rPr>
                <w:b/>
              </w:rPr>
            </w:pPr>
            <w:r>
              <w:rPr>
                <w:b/>
              </w:rPr>
              <w:t>Information products</w:t>
            </w:r>
          </w:p>
        </w:tc>
      </w:tr>
      <w:tr w:rsidR="00632690" w14:paraId="06DAAF50" w14:textId="3382DD4D" w:rsidTr="007B3F36">
        <w:tc>
          <w:tcPr>
            <w:tcW w:w="833" w:type="pct"/>
          </w:tcPr>
          <w:p w14:paraId="0483EC07" w14:textId="1AA0AD9E" w:rsidR="00632690" w:rsidRPr="002F15F1" w:rsidRDefault="00632690" w:rsidP="002F15F1">
            <w:pPr>
              <w:rPr>
                <w:b/>
              </w:rPr>
            </w:pPr>
            <w:r w:rsidRPr="002F15F1">
              <w:rPr>
                <w:b/>
              </w:rPr>
              <w:t>Partner</w:t>
            </w:r>
          </w:p>
        </w:tc>
        <w:tc>
          <w:tcPr>
            <w:tcW w:w="833" w:type="pct"/>
          </w:tcPr>
          <w:p w14:paraId="54026B75" w14:textId="213155E6" w:rsidR="00632690" w:rsidRPr="002F15F1" w:rsidRDefault="00632690" w:rsidP="002F15F1">
            <w:pPr>
              <w:rPr>
                <w:b/>
              </w:rPr>
            </w:pPr>
            <w:r w:rsidRPr="002F15F1">
              <w:rPr>
                <w:b/>
              </w:rPr>
              <w:t>Datasets</w:t>
            </w:r>
          </w:p>
        </w:tc>
        <w:tc>
          <w:tcPr>
            <w:tcW w:w="786" w:type="pct"/>
          </w:tcPr>
          <w:p w14:paraId="7BE15A11" w14:textId="7CB927AD" w:rsidR="00632690" w:rsidRPr="002F15F1" w:rsidRDefault="00632690" w:rsidP="002F15F1">
            <w:pPr>
              <w:rPr>
                <w:b/>
              </w:rPr>
            </w:pPr>
            <w:r w:rsidRPr="002F15F1">
              <w:rPr>
                <w:b/>
              </w:rPr>
              <w:t>Tools</w:t>
            </w:r>
          </w:p>
        </w:tc>
        <w:tc>
          <w:tcPr>
            <w:tcW w:w="881" w:type="pct"/>
          </w:tcPr>
          <w:p w14:paraId="0F4933F7" w14:textId="663410DB" w:rsidR="00632690" w:rsidRPr="002F15F1" w:rsidRDefault="00632690" w:rsidP="002F15F1">
            <w:pPr>
              <w:rPr>
                <w:b/>
              </w:rPr>
            </w:pPr>
            <w:r w:rsidRPr="002F15F1">
              <w:rPr>
                <w:b/>
              </w:rPr>
              <w:t>Software/Code</w:t>
            </w:r>
          </w:p>
        </w:tc>
        <w:tc>
          <w:tcPr>
            <w:tcW w:w="835" w:type="pct"/>
          </w:tcPr>
          <w:p w14:paraId="065B52E4" w14:textId="767788E2" w:rsidR="00632690" w:rsidRPr="002F15F1" w:rsidRDefault="00632690" w:rsidP="002F15F1">
            <w:pPr>
              <w:rPr>
                <w:b/>
              </w:rPr>
            </w:pPr>
            <w:r w:rsidRPr="002F15F1">
              <w:rPr>
                <w:b/>
              </w:rPr>
              <w:t>Spatial</w:t>
            </w:r>
          </w:p>
        </w:tc>
        <w:tc>
          <w:tcPr>
            <w:tcW w:w="832" w:type="pct"/>
          </w:tcPr>
          <w:p w14:paraId="3E7098E2" w14:textId="77777777" w:rsidR="00632690" w:rsidRPr="002F15F1" w:rsidRDefault="00632690" w:rsidP="002F15F1">
            <w:pPr>
              <w:rPr>
                <w:b/>
              </w:rPr>
            </w:pPr>
          </w:p>
        </w:tc>
      </w:tr>
      <w:tr w:rsidR="00632690" w14:paraId="1A4B96B3" w14:textId="00A5DBA4" w:rsidTr="007B3F36">
        <w:tc>
          <w:tcPr>
            <w:tcW w:w="833" w:type="pct"/>
          </w:tcPr>
          <w:p w14:paraId="7EC7910A" w14:textId="27151160" w:rsidR="00632690" w:rsidRDefault="00632690" w:rsidP="002F15F1">
            <w:r>
              <w:t>ILRI</w:t>
            </w:r>
          </w:p>
        </w:tc>
        <w:tc>
          <w:tcPr>
            <w:tcW w:w="833" w:type="pct"/>
          </w:tcPr>
          <w:p w14:paraId="491429C3" w14:textId="398DBAFD" w:rsidR="00632690" w:rsidRPr="00692A19" w:rsidRDefault="002E3517" w:rsidP="002F15F1">
            <w:pPr>
              <w:rPr>
                <w:color w:val="1F4E79" w:themeColor="accent1" w:themeShade="80"/>
              </w:rPr>
            </w:pPr>
            <w:hyperlink r:id="rId6" w:history="1">
              <w:r w:rsidR="00632690" w:rsidRPr="000270FC">
                <w:rPr>
                  <w:rStyle w:val="Hyperlink"/>
                </w:rPr>
                <w:t>CKAN</w:t>
              </w:r>
            </w:hyperlink>
          </w:p>
        </w:tc>
        <w:tc>
          <w:tcPr>
            <w:tcW w:w="786" w:type="pct"/>
          </w:tcPr>
          <w:p w14:paraId="259304DE" w14:textId="52FFC05B" w:rsidR="00632690" w:rsidRPr="00692A19" w:rsidRDefault="002E3517" w:rsidP="002F15F1">
            <w:pPr>
              <w:rPr>
                <w:color w:val="1F4E79" w:themeColor="accent1" w:themeShade="80"/>
              </w:rPr>
            </w:pPr>
            <w:hyperlink r:id="rId7" w:history="1">
              <w:r w:rsidR="00632690" w:rsidRPr="000270FC">
                <w:rPr>
                  <w:rStyle w:val="Hyperlink"/>
                </w:rPr>
                <w:t>CKAN</w:t>
              </w:r>
            </w:hyperlink>
          </w:p>
        </w:tc>
        <w:tc>
          <w:tcPr>
            <w:tcW w:w="881" w:type="pct"/>
          </w:tcPr>
          <w:p w14:paraId="142E8920" w14:textId="0E076E59" w:rsidR="00632690" w:rsidRDefault="002E3517" w:rsidP="002F15F1">
            <w:hyperlink r:id="rId8" w:history="1">
              <w:r w:rsidR="00632690" w:rsidRPr="000270FC">
                <w:rPr>
                  <w:rStyle w:val="Hyperlink"/>
                  <w:color w:val="023160" w:themeColor="hyperlink" w:themeShade="80"/>
                </w:rPr>
                <w:t>Github</w:t>
              </w:r>
            </w:hyperlink>
          </w:p>
        </w:tc>
        <w:tc>
          <w:tcPr>
            <w:tcW w:w="835" w:type="pct"/>
          </w:tcPr>
          <w:p w14:paraId="584F473F" w14:textId="32A3CA04" w:rsidR="00632690" w:rsidRDefault="00632690" w:rsidP="002F15F1">
            <w:r>
              <w:t>Geoportal - outdated</w:t>
            </w:r>
          </w:p>
        </w:tc>
        <w:tc>
          <w:tcPr>
            <w:tcW w:w="832" w:type="pct"/>
          </w:tcPr>
          <w:p w14:paraId="75E7C544" w14:textId="0AD10882" w:rsidR="00632690" w:rsidRDefault="00632690" w:rsidP="002F15F1">
            <w:r>
              <w:t>CGSpace</w:t>
            </w:r>
          </w:p>
        </w:tc>
      </w:tr>
      <w:tr w:rsidR="00632690" w14:paraId="05045D00" w14:textId="5787C5BA" w:rsidTr="007B3F36">
        <w:tc>
          <w:tcPr>
            <w:tcW w:w="833" w:type="pct"/>
          </w:tcPr>
          <w:p w14:paraId="60E108B3" w14:textId="6E4845BF" w:rsidR="00632690" w:rsidRDefault="00632690" w:rsidP="002F15F1">
            <w:r>
              <w:t>ICARDA</w:t>
            </w:r>
          </w:p>
        </w:tc>
        <w:tc>
          <w:tcPr>
            <w:tcW w:w="833" w:type="pct"/>
          </w:tcPr>
          <w:p w14:paraId="3417934B" w14:textId="407A7299" w:rsidR="00632690" w:rsidRPr="00692A19" w:rsidRDefault="002E3517" w:rsidP="002F15F1">
            <w:pPr>
              <w:rPr>
                <w:color w:val="1F4E79" w:themeColor="accent1" w:themeShade="80"/>
              </w:rPr>
            </w:pPr>
            <w:hyperlink r:id="rId9" w:history="1">
              <w:r w:rsidR="00DE0FB7" w:rsidRPr="001475D7">
                <w:rPr>
                  <w:rStyle w:val="Hyperlink"/>
                </w:rPr>
                <w:t>Dataverse</w:t>
              </w:r>
            </w:hyperlink>
          </w:p>
        </w:tc>
        <w:tc>
          <w:tcPr>
            <w:tcW w:w="786" w:type="pct"/>
          </w:tcPr>
          <w:p w14:paraId="077A7D0A" w14:textId="6AC1D7FE" w:rsidR="00632690" w:rsidRDefault="002E3517" w:rsidP="002F15F1">
            <w:hyperlink r:id="rId10" w:history="1">
              <w:r w:rsidR="00632690" w:rsidRPr="000270FC">
                <w:rPr>
                  <w:rStyle w:val="Hyperlink"/>
                </w:rPr>
                <w:t>Geo-agro</w:t>
              </w:r>
            </w:hyperlink>
          </w:p>
        </w:tc>
        <w:tc>
          <w:tcPr>
            <w:tcW w:w="881" w:type="pct"/>
          </w:tcPr>
          <w:p w14:paraId="011BA57B" w14:textId="57A6B3ED" w:rsidR="00632690" w:rsidRDefault="002E3517" w:rsidP="002F15F1">
            <w:hyperlink r:id="rId11" w:history="1">
              <w:r w:rsidR="00DE0FB7" w:rsidRPr="001475D7">
                <w:rPr>
                  <w:rStyle w:val="Hyperlink"/>
                </w:rPr>
                <w:t>Dataverse</w:t>
              </w:r>
            </w:hyperlink>
            <w:r w:rsidR="00632690" w:rsidRPr="004C0982">
              <w:rPr>
                <w:color w:val="1F4E79" w:themeColor="accent1" w:themeShade="80"/>
              </w:rPr>
              <w:t xml:space="preserve"> (final)</w:t>
            </w:r>
          </w:p>
        </w:tc>
        <w:tc>
          <w:tcPr>
            <w:tcW w:w="835" w:type="pct"/>
          </w:tcPr>
          <w:p w14:paraId="1CA7FFAE" w14:textId="6E9ED8B0" w:rsidR="00632690" w:rsidRDefault="002E3517" w:rsidP="002F15F1">
            <w:hyperlink r:id="rId12" w:history="1">
              <w:r w:rsidR="00632690" w:rsidRPr="000270FC">
                <w:rPr>
                  <w:rStyle w:val="Hyperlink"/>
                </w:rPr>
                <w:t>Geo-agro</w:t>
              </w:r>
            </w:hyperlink>
          </w:p>
        </w:tc>
        <w:tc>
          <w:tcPr>
            <w:tcW w:w="832" w:type="pct"/>
          </w:tcPr>
          <w:p w14:paraId="0EB957E6" w14:textId="76A987AC" w:rsidR="00632690" w:rsidRDefault="00632690" w:rsidP="002F15F1">
            <w:r>
              <w:t>Own dspace?</w:t>
            </w:r>
          </w:p>
        </w:tc>
      </w:tr>
      <w:tr w:rsidR="00632690" w14:paraId="606F40C8" w14:textId="776DD889" w:rsidTr="007B3F36">
        <w:tc>
          <w:tcPr>
            <w:tcW w:w="833" w:type="pct"/>
          </w:tcPr>
          <w:p w14:paraId="3906B781" w14:textId="65A8A13A" w:rsidR="00632690" w:rsidRDefault="00632690" w:rsidP="002F15F1">
            <w:r>
              <w:t>CIAT</w:t>
            </w:r>
          </w:p>
        </w:tc>
        <w:tc>
          <w:tcPr>
            <w:tcW w:w="833" w:type="pct"/>
          </w:tcPr>
          <w:p w14:paraId="51BA9565" w14:textId="3B9DCF68" w:rsidR="00632690" w:rsidRPr="00692A19" w:rsidRDefault="002E3517" w:rsidP="002F15F1">
            <w:pPr>
              <w:rPr>
                <w:color w:val="1F4E79" w:themeColor="accent1" w:themeShade="80"/>
              </w:rPr>
            </w:pPr>
            <w:hyperlink r:id="rId13" w:history="1">
              <w:r w:rsidR="00632690" w:rsidRPr="000270FC">
                <w:rPr>
                  <w:rStyle w:val="Hyperlink"/>
                </w:rPr>
                <w:t>Dataverse</w:t>
              </w:r>
            </w:hyperlink>
          </w:p>
        </w:tc>
        <w:tc>
          <w:tcPr>
            <w:tcW w:w="786" w:type="pct"/>
          </w:tcPr>
          <w:p w14:paraId="7E02331B" w14:textId="5D985F16" w:rsidR="00632690" w:rsidRDefault="002E3517" w:rsidP="002F15F1">
            <w:hyperlink r:id="rId14" w:history="1">
              <w:r w:rsidR="00632690" w:rsidRPr="000270FC">
                <w:rPr>
                  <w:rStyle w:val="Hyperlink"/>
                </w:rPr>
                <w:t>CGSpace</w:t>
              </w:r>
            </w:hyperlink>
          </w:p>
        </w:tc>
        <w:tc>
          <w:tcPr>
            <w:tcW w:w="881" w:type="pct"/>
          </w:tcPr>
          <w:p w14:paraId="356F96D5" w14:textId="7C21BB0B" w:rsidR="00632690" w:rsidRDefault="00632690" w:rsidP="002F15F1"/>
        </w:tc>
        <w:tc>
          <w:tcPr>
            <w:tcW w:w="835" w:type="pct"/>
          </w:tcPr>
          <w:p w14:paraId="14FA4552" w14:textId="3DFBB37E" w:rsidR="00632690" w:rsidRDefault="002E3517" w:rsidP="002F15F1">
            <w:hyperlink r:id="rId15" w:history="1">
              <w:r w:rsidR="00632690" w:rsidRPr="000270FC">
                <w:rPr>
                  <w:rStyle w:val="Hyperlink"/>
                </w:rPr>
                <w:t>Dataverse</w:t>
              </w:r>
            </w:hyperlink>
          </w:p>
        </w:tc>
        <w:tc>
          <w:tcPr>
            <w:tcW w:w="832" w:type="pct"/>
          </w:tcPr>
          <w:p w14:paraId="4C18F2A2" w14:textId="0693FEFB" w:rsidR="00632690" w:rsidRDefault="00632690" w:rsidP="002F15F1">
            <w:r>
              <w:t>CGSpace</w:t>
            </w:r>
          </w:p>
        </w:tc>
      </w:tr>
      <w:tr w:rsidR="00632690" w14:paraId="595CAC04" w14:textId="74211C39" w:rsidTr="007923DE">
        <w:tc>
          <w:tcPr>
            <w:tcW w:w="833" w:type="pct"/>
          </w:tcPr>
          <w:p w14:paraId="63A49E98" w14:textId="77777777" w:rsidR="00632690" w:rsidRDefault="00632690" w:rsidP="002F15F1">
            <w:r>
              <w:t>SLU</w:t>
            </w:r>
          </w:p>
        </w:tc>
        <w:tc>
          <w:tcPr>
            <w:tcW w:w="3335" w:type="pct"/>
            <w:gridSpan w:val="4"/>
          </w:tcPr>
          <w:p w14:paraId="433CF21E" w14:textId="5BE4ADD4" w:rsidR="00632690" w:rsidRDefault="00632690" w:rsidP="002F15F1">
            <w:r>
              <w:t xml:space="preserve">SLU-data generated under the CRP umbrella will be stored in ILRI repositories as these conform to the SLU standards: </w:t>
            </w:r>
            <w:hyperlink r:id="rId16" w:history="1">
              <w:r w:rsidRPr="00AD6432">
                <w:rPr>
                  <w:rStyle w:val="Hyperlink"/>
                </w:rPr>
                <w:t>http://www.slu.se/en/site/library/publish-and-analyse/open-access/</w:t>
              </w:r>
            </w:hyperlink>
          </w:p>
        </w:tc>
        <w:tc>
          <w:tcPr>
            <w:tcW w:w="832" w:type="pct"/>
          </w:tcPr>
          <w:p w14:paraId="35449BB6" w14:textId="2BFDD0B8" w:rsidR="00632690" w:rsidRDefault="00632690" w:rsidP="002F15F1"/>
        </w:tc>
      </w:tr>
      <w:tr w:rsidR="007B3F36" w14:paraId="5754F774" w14:textId="77777777" w:rsidTr="007923DE">
        <w:tc>
          <w:tcPr>
            <w:tcW w:w="833" w:type="pct"/>
          </w:tcPr>
          <w:p w14:paraId="55EB088A" w14:textId="67B89612" w:rsidR="007B3F36" w:rsidRDefault="004004B8" w:rsidP="002F15F1">
            <w:r>
              <w:t>GIZ</w:t>
            </w:r>
          </w:p>
        </w:tc>
        <w:tc>
          <w:tcPr>
            <w:tcW w:w="3335" w:type="pct"/>
            <w:gridSpan w:val="4"/>
          </w:tcPr>
          <w:p w14:paraId="34B369C1" w14:textId="77777777" w:rsidR="007B3F36" w:rsidRDefault="007B3F36" w:rsidP="002F15F1"/>
        </w:tc>
        <w:tc>
          <w:tcPr>
            <w:tcW w:w="832" w:type="pct"/>
          </w:tcPr>
          <w:p w14:paraId="61ECDFDC" w14:textId="77777777" w:rsidR="007B3F36" w:rsidRDefault="007B3F36" w:rsidP="002F15F1"/>
        </w:tc>
      </w:tr>
    </w:tbl>
    <w:p w14:paraId="2F222F26" w14:textId="77777777" w:rsidR="004C0982" w:rsidRDefault="004C0982"/>
    <w:p w14:paraId="5089CABA" w14:textId="67CC8390" w:rsidR="00692A19" w:rsidRDefault="00692A19">
      <w:r>
        <w:t xml:space="preserve">The strategic investment in 2017 is proposed to ensure </w:t>
      </w:r>
      <w:r w:rsidR="007923DE">
        <w:t>the Program has</w:t>
      </w:r>
      <w:r>
        <w:t xml:space="preserve"> stable, accessible (to </w:t>
      </w:r>
      <w:r w:rsidR="00CD64BD">
        <w:t xml:space="preserve">all </w:t>
      </w:r>
      <w:r>
        <w:t xml:space="preserve">partners for uploading) and up-to-date </w:t>
      </w:r>
      <w:r w:rsidR="00632690">
        <w:t xml:space="preserve">CRP and partner-level ‘institutional’ </w:t>
      </w:r>
      <w:r>
        <w:t>platforms for th</w:t>
      </w:r>
      <w:r w:rsidR="00632690">
        <w:t>ese</w:t>
      </w:r>
      <w:r>
        <w:t xml:space="preserve"> products</w:t>
      </w:r>
      <w:r w:rsidR="00632690">
        <w:t xml:space="preserve"> (</w:t>
      </w:r>
      <w:r w:rsidR="00986811">
        <w:t>note that s</w:t>
      </w:r>
      <w:r w:rsidR="00632690">
        <w:t xml:space="preserve">ome flagships, such as Livestock Genetics, already contribute </w:t>
      </w:r>
      <w:r w:rsidR="00986811">
        <w:t xml:space="preserve">some of </w:t>
      </w:r>
      <w:r w:rsidR="00632690">
        <w:t>their data to specialized access services)</w:t>
      </w:r>
      <w:r>
        <w:t xml:space="preserve">. Activities </w:t>
      </w:r>
      <w:r w:rsidR="00DE0FB7">
        <w:t>will</w:t>
      </w:r>
      <w:r w:rsidR="00863623">
        <w:t xml:space="preserve"> </w:t>
      </w:r>
      <w:r>
        <w:t>include:</w:t>
      </w:r>
    </w:p>
    <w:p w14:paraId="6FF486C3" w14:textId="64659D6A" w:rsidR="00632690" w:rsidRDefault="00632690">
      <w:r>
        <w:t>CRP</w:t>
      </w:r>
      <w:r w:rsidR="007923DE">
        <w:t>-level</w:t>
      </w:r>
    </w:p>
    <w:p w14:paraId="12E2D3F0" w14:textId="0B269681" w:rsidR="00632690" w:rsidRDefault="00632690" w:rsidP="00632690">
      <w:pPr>
        <w:pStyle w:val="ListParagraph"/>
        <w:numPr>
          <w:ilvl w:val="0"/>
          <w:numId w:val="6"/>
        </w:numPr>
      </w:pPr>
      <w:r>
        <w:t>Create an initial inventory of databases as well as information and data-access platforms and repositories used across the LIVESTOCK partners.</w:t>
      </w:r>
    </w:p>
    <w:p w14:paraId="38A1536F" w14:textId="6B9AF7DF" w:rsidR="007923DE" w:rsidRDefault="007923DE" w:rsidP="00632690">
      <w:pPr>
        <w:pStyle w:val="ListParagraph"/>
        <w:numPr>
          <w:ilvl w:val="0"/>
          <w:numId w:val="6"/>
        </w:numPr>
      </w:pPr>
      <w:r>
        <w:t xml:space="preserve">Create mechanisms for LIVESTOCK </w:t>
      </w:r>
      <w:r w:rsidR="007B3F36">
        <w:t xml:space="preserve">to use the </w:t>
      </w:r>
      <w:r>
        <w:t>ILRI data portal and CGSpace to make CRP-level data as well as data and information products openly accessible</w:t>
      </w:r>
      <w:r w:rsidR="007A48D9">
        <w:t>.</w:t>
      </w:r>
    </w:p>
    <w:p w14:paraId="22C6CBB7" w14:textId="77777777" w:rsidR="00692A19" w:rsidRDefault="00692A19">
      <w:r>
        <w:t>ILRI</w:t>
      </w:r>
    </w:p>
    <w:p w14:paraId="5252F00C" w14:textId="385AEF70" w:rsidR="00692A19" w:rsidRDefault="00692A19" w:rsidP="00692A19">
      <w:pPr>
        <w:pStyle w:val="ListParagraph"/>
        <w:numPr>
          <w:ilvl w:val="0"/>
          <w:numId w:val="1"/>
        </w:numPr>
      </w:pPr>
      <w:r>
        <w:t>Customi</w:t>
      </w:r>
      <w:r w:rsidR="00632690">
        <w:t>se</w:t>
      </w:r>
      <w:r>
        <w:t xml:space="preserve"> and upgrad</w:t>
      </w:r>
      <w:r w:rsidR="00632690">
        <w:t>e</w:t>
      </w:r>
      <w:r>
        <w:t xml:space="preserve"> (adding usage statistics, map search function, automating confidential data requests etc.) </w:t>
      </w:r>
      <w:r w:rsidR="00632690">
        <w:t>the</w:t>
      </w:r>
      <w:r>
        <w:t xml:space="preserve"> </w:t>
      </w:r>
      <w:r w:rsidR="00CD64BD">
        <w:t xml:space="preserve">ILRI </w:t>
      </w:r>
      <w:r>
        <w:t>Data Portal</w:t>
      </w:r>
    </w:p>
    <w:p w14:paraId="0314D44E" w14:textId="13A067BE" w:rsidR="00692A19" w:rsidRDefault="00692A19" w:rsidP="00692A19">
      <w:pPr>
        <w:pStyle w:val="ListParagraph"/>
        <w:numPr>
          <w:ilvl w:val="0"/>
          <w:numId w:val="1"/>
        </w:numPr>
      </w:pPr>
      <w:r>
        <w:t>Transfer spatial geoportal to a Spatial Products Portal (CKAN)</w:t>
      </w:r>
      <w:r w:rsidR="00CD64BD">
        <w:t xml:space="preserve"> – or integration into Data Portal</w:t>
      </w:r>
    </w:p>
    <w:p w14:paraId="07CE0D26" w14:textId="45B262FD" w:rsidR="00692A19" w:rsidRDefault="00692A19" w:rsidP="00692A19">
      <w:pPr>
        <w:pStyle w:val="ListParagraph"/>
        <w:numPr>
          <w:ilvl w:val="0"/>
          <w:numId w:val="1"/>
        </w:numPr>
      </w:pPr>
      <w:r>
        <w:t>Improve</w:t>
      </w:r>
      <w:r w:rsidR="00632690">
        <w:t xml:space="preserve"> the</w:t>
      </w:r>
      <w:r>
        <w:t xml:space="preserve"> Tools Portal </w:t>
      </w:r>
      <w:r w:rsidR="00632690">
        <w:t>in terms of</w:t>
      </w:r>
      <w:r>
        <w:t xml:space="preserve"> usability</w:t>
      </w:r>
      <w:r w:rsidR="00CD64BD">
        <w:t>, linkages to tools, meta-data</w:t>
      </w:r>
      <w:r w:rsidR="00632690">
        <w:t xml:space="preserve"> upgrade, and  linking information products from CGSpace</w:t>
      </w:r>
    </w:p>
    <w:p w14:paraId="55995883" w14:textId="71814CFE" w:rsidR="007B3F36" w:rsidRDefault="007B3F36" w:rsidP="00692A19">
      <w:pPr>
        <w:pStyle w:val="ListParagraph"/>
        <w:numPr>
          <w:ilvl w:val="0"/>
          <w:numId w:val="1"/>
        </w:numPr>
      </w:pPr>
      <w:r>
        <w:t>Add ‘visual’ search and reporting functions to CGSpace</w:t>
      </w:r>
    </w:p>
    <w:p w14:paraId="33EF072B" w14:textId="1193FDC8" w:rsidR="009156E1" w:rsidRDefault="00692A19" w:rsidP="00863623">
      <w:r w:rsidRPr="00863623">
        <w:t>ICARDA</w:t>
      </w:r>
      <w:r>
        <w:t xml:space="preserve"> </w:t>
      </w:r>
    </w:p>
    <w:p w14:paraId="32BA68C1" w14:textId="0E62C705" w:rsidR="00863623" w:rsidRDefault="00863623" w:rsidP="00863623">
      <w:pPr>
        <w:pStyle w:val="ListParagraph"/>
        <w:numPr>
          <w:ilvl w:val="0"/>
          <w:numId w:val="1"/>
        </w:numPr>
      </w:pPr>
      <w:r>
        <w:t>Deploy Dataverse installation linked to internal MEL System with metadata related to CRP L</w:t>
      </w:r>
      <w:r w:rsidR="007B3F36">
        <w:t>IVESTOCK</w:t>
      </w:r>
      <w:r>
        <w:t xml:space="preserve"> to ensure interrelated filtering systems; enhance map search function.</w:t>
      </w:r>
    </w:p>
    <w:p w14:paraId="34518749" w14:textId="6169298C" w:rsidR="00863623" w:rsidRDefault="00863623" w:rsidP="00863623">
      <w:pPr>
        <w:pStyle w:val="ListParagraph"/>
        <w:numPr>
          <w:ilvl w:val="0"/>
          <w:numId w:val="1"/>
        </w:numPr>
      </w:pPr>
      <w:r>
        <w:t>Establish API protocols with Geo-agro to enhance data sharing and use of current geo-spatial tools.</w:t>
      </w:r>
    </w:p>
    <w:p w14:paraId="36BFC6D3" w14:textId="77777777" w:rsidR="00863623" w:rsidRDefault="00863623" w:rsidP="00863623">
      <w:pPr>
        <w:pStyle w:val="ListParagraph"/>
        <w:numPr>
          <w:ilvl w:val="0"/>
          <w:numId w:val="1"/>
        </w:numPr>
      </w:pPr>
      <w:r>
        <w:t>Finalize smart-survey tool for field data collection based on ODK with web-based workflow and approvals.</w:t>
      </w:r>
    </w:p>
    <w:p w14:paraId="51C303E4" w14:textId="37C7D5DB" w:rsidR="00863623" w:rsidRDefault="00863623" w:rsidP="00863623">
      <w:r>
        <w:t>CIAT</w:t>
      </w:r>
    </w:p>
    <w:p w14:paraId="1A6BC949" w14:textId="7F320A58" w:rsidR="00863623" w:rsidRDefault="00863623" w:rsidP="00863623">
      <w:pPr>
        <w:pStyle w:val="ListParagraph"/>
        <w:numPr>
          <w:ilvl w:val="0"/>
          <w:numId w:val="5"/>
        </w:numPr>
      </w:pPr>
      <w:r>
        <w:t xml:space="preserve">To be discussed – although planned for ILRI to be main repository for CIAT </w:t>
      </w:r>
      <w:r w:rsidR="00151233">
        <w:t>data and data products.</w:t>
      </w:r>
    </w:p>
    <w:p w14:paraId="313501DA" w14:textId="37500810" w:rsidR="00863623" w:rsidRDefault="00863623" w:rsidP="00863623">
      <w:r>
        <w:lastRenderedPageBreak/>
        <w:t>SLU</w:t>
      </w:r>
    </w:p>
    <w:p w14:paraId="3E575476" w14:textId="14521572" w:rsidR="00863623" w:rsidRDefault="00863623" w:rsidP="00863623">
      <w:pPr>
        <w:pStyle w:val="ListParagraph"/>
        <w:numPr>
          <w:ilvl w:val="0"/>
          <w:numId w:val="5"/>
        </w:numPr>
      </w:pPr>
      <w:r>
        <w:t>ILRI to be main repository for SLU-generated data.</w:t>
      </w:r>
    </w:p>
    <w:p w14:paraId="0C10629D" w14:textId="226E499F" w:rsidR="00692A19" w:rsidRPr="00EF5E5C" w:rsidRDefault="00EF5E5C" w:rsidP="009A5D47">
      <w:pPr>
        <w:pStyle w:val="Heading2"/>
      </w:pPr>
      <w:r w:rsidRPr="00EF5E5C">
        <w:t>Data open access support (to CRP/projects/partners)</w:t>
      </w:r>
    </w:p>
    <w:p w14:paraId="6AC4D361" w14:textId="1D6B27D6" w:rsidR="00EF5E5C" w:rsidRDefault="00EF5E5C">
      <w:r>
        <w:t xml:space="preserve">Flagships and associated W3/bilateral projects have been encouraged to include budget for data open-access support, and are doing in most cases. </w:t>
      </w:r>
      <w:r w:rsidR="00151233">
        <w:t>I</w:t>
      </w:r>
      <w:r>
        <w:t>n the first year</w:t>
      </w:r>
      <w:r w:rsidR="007923DE">
        <w:t>, LIVESTOCK will</w:t>
      </w:r>
      <w:r>
        <w:t xml:space="preserve"> provide clear guidance on how to utilize these funds and use pilot examples in each flagship across </w:t>
      </w:r>
      <w:r w:rsidR="00863623">
        <w:t xml:space="preserve">the CRP </w:t>
      </w:r>
      <w:r>
        <w:t xml:space="preserve">partners to translate data from the field or </w:t>
      </w:r>
      <w:r w:rsidR="007923DE">
        <w:t xml:space="preserve">other </w:t>
      </w:r>
      <w:r>
        <w:t>database</w:t>
      </w:r>
      <w:r w:rsidR="007923DE">
        <w:t>s</w:t>
      </w:r>
      <w:r>
        <w:t xml:space="preserve"> to </w:t>
      </w:r>
      <w:r w:rsidR="007923DE">
        <w:t xml:space="preserve">be </w:t>
      </w:r>
      <w:r>
        <w:t>open</w:t>
      </w:r>
      <w:r w:rsidR="007923DE">
        <w:t xml:space="preserve"> </w:t>
      </w:r>
      <w:r>
        <w:t>access. SIF investment in this component will resource activities</w:t>
      </w:r>
      <w:r w:rsidR="00863623">
        <w:t xml:space="preserve"> including</w:t>
      </w:r>
      <w:r>
        <w:t>:</w:t>
      </w:r>
    </w:p>
    <w:p w14:paraId="3FF8F800" w14:textId="588EFB47" w:rsidR="00EF5E5C" w:rsidRDefault="00EF5E5C" w:rsidP="00EF5E5C">
      <w:pPr>
        <w:pStyle w:val="ListParagraph"/>
        <w:numPr>
          <w:ilvl w:val="0"/>
          <w:numId w:val="2"/>
        </w:numPr>
      </w:pPr>
      <w:r>
        <w:t>Documentation</w:t>
      </w:r>
      <w:r w:rsidR="007923DE">
        <w:t xml:space="preserve">, </w:t>
      </w:r>
      <w:r>
        <w:t xml:space="preserve">guidance </w:t>
      </w:r>
      <w:r w:rsidR="007923DE">
        <w:t xml:space="preserve">and awareness activities </w:t>
      </w:r>
      <w:r>
        <w:t xml:space="preserve">for all partners </w:t>
      </w:r>
      <w:r w:rsidR="007923DE">
        <w:t>on</w:t>
      </w:r>
      <w:r>
        <w:t xml:space="preserve"> what and how to make data and data products open-access</w:t>
      </w:r>
      <w:r w:rsidR="00863623">
        <w:t xml:space="preserve"> (working together with </w:t>
      </w:r>
      <w:r w:rsidR="007923DE">
        <w:t xml:space="preserve">CRP </w:t>
      </w:r>
      <w:r w:rsidR="00863623">
        <w:t>partners to develop)</w:t>
      </w:r>
      <w:r>
        <w:t>.</w:t>
      </w:r>
      <w:r w:rsidR="007923DE">
        <w:t xml:space="preserve"> These activities will also cover wider issues of IP and associated open access provisions for information products and other resources.</w:t>
      </w:r>
    </w:p>
    <w:p w14:paraId="4F051B53" w14:textId="004ACA02" w:rsidR="00EF5E5C" w:rsidRDefault="00EF5E5C" w:rsidP="00EF5E5C">
      <w:pPr>
        <w:pStyle w:val="ListParagraph"/>
        <w:numPr>
          <w:ilvl w:val="0"/>
          <w:numId w:val="2"/>
        </w:numPr>
      </w:pPr>
      <w:r>
        <w:t xml:space="preserve">Direct support to </w:t>
      </w:r>
      <w:r w:rsidR="00863623">
        <w:t>flagships by ILRI and other partners</w:t>
      </w:r>
      <w:r>
        <w:t xml:space="preserve"> for example datasets to translate to open-access.</w:t>
      </w:r>
      <w:r w:rsidR="00863623">
        <w:t xml:space="preserve"> This may include supporting sub-contracted partners.</w:t>
      </w:r>
    </w:p>
    <w:p w14:paraId="588215C7" w14:textId="0272FAE1" w:rsidR="0076240E" w:rsidRDefault="0076240E" w:rsidP="00EF5E5C">
      <w:pPr>
        <w:pStyle w:val="ListParagraph"/>
        <w:numPr>
          <w:ilvl w:val="0"/>
          <w:numId w:val="2"/>
        </w:numPr>
      </w:pPr>
      <w:r>
        <w:t>Curation of current databases to support baseline and targeting.</w:t>
      </w:r>
    </w:p>
    <w:p w14:paraId="65B17D66" w14:textId="33B3123A" w:rsidR="00EF5E5C" w:rsidRPr="009156E1" w:rsidRDefault="00EF5E5C" w:rsidP="009A5D47">
      <w:pPr>
        <w:pStyle w:val="Heading2"/>
      </w:pPr>
      <w:r w:rsidRPr="009156E1">
        <w:t>Integration of data across CRP activities to facilitate advanced analysis and meta-analyses</w:t>
      </w:r>
    </w:p>
    <w:p w14:paraId="77CF0B17" w14:textId="0499D737" w:rsidR="00EF5E5C" w:rsidRDefault="00EF5E5C">
      <w:r>
        <w:t xml:space="preserve">A key component of enhancing research quality and learning across the CRP is the ability to carry out meta-analysis across </w:t>
      </w:r>
      <w:r w:rsidR="00D24CD1">
        <w:t>CRP</w:t>
      </w:r>
      <w:r>
        <w:t xml:space="preserve"> activities. In different contexts</w:t>
      </w:r>
      <w:r w:rsidR="00D24CD1">
        <w:t>,</w:t>
      </w:r>
      <w:r>
        <w:t xml:space="preserve"> this can provide cross-site, cross-intervention and/or cross-flagship learning</w:t>
      </w:r>
      <w:r w:rsidR="00D24CD1">
        <w:t xml:space="preserve"> and inform the design and implementation of activities. Integration of the data is necessary to enable these meta-analyses</w:t>
      </w:r>
      <w:r w:rsidR="009156E1">
        <w:t xml:space="preserve"> and in 2017</w:t>
      </w:r>
      <w:r w:rsidR="007923DE">
        <w:t>, the Program</w:t>
      </w:r>
      <w:r w:rsidR="009156E1">
        <w:t xml:space="preserve"> will evaluate </w:t>
      </w:r>
      <w:r w:rsidR="007923DE">
        <w:t>its</w:t>
      </w:r>
      <w:r w:rsidR="009156E1">
        <w:t xml:space="preserve"> ability to do this with a couple of key activities:</w:t>
      </w:r>
    </w:p>
    <w:p w14:paraId="6524B088" w14:textId="26721CC6" w:rsidR="00EF5E5C" w:rsidRDefault="007923DE" w:rsidP="009156E1">
      <w:pPr>
        <w:pStyle w:val="ListParagraph"/>
        <w:numPr>
          <w:ilvl w:val="0"/>
          <w:numId w:val="3"/>
        </w:numPr>
      </w:pPr>
      <w:r>
        <w:t>Establish</w:t>
      </w:r>
      <w:r w:rsidR="009156E1">
        <w:t xml:space="preserve"> database(s) for Change Monitoring (Theory of Change) using experiences from </w:t>
      </w:r>
      <w:r w:rsidR="00273CC4">
        <w:t xml:space="preserve">the </w:t>
      </w:r>
      <w:r w:rsidR="009156E1">
        <w:t xml:space="preserve">Livestock </w:t>
      </w:r>
      <w:r w:rsidR="00273CC4">
        <w:t>and</w:t>
      </w:r>
      <w:r w:rsidR="009156E1">
        <w:t xml:space="preserve"> Fish CRP</w:t>
      </w:r>
    </w:p>
    <w:p w14:paraId="5B9D318F" w14:textId="108FC868" w:rsidR="009156E1" w:rsidRDefault="009156E1" w:rsidP="009156E1">
      <w:pPr>
        <w:pStyle w:val="ListParagraph"/>
        <w:numPr>
          <w:ilvl w:val="0"/>
          <w:numId w:val="3"/>
        </w:numPr>
      </w:pPr>
      <w:r>
        <w:t xml:space="preserve">Integration of data for CRP country characterization for foresight and targeting </w:t>
      </w:r>
      <w:r w:rsidR="004372C3">
        <w:t>/</w:t>
      </w:r>
      <w:r>
        <w:t xml:space="preserve"> baselining (value-chain</w:t>
      </w:r>
      <w:r w:rsidR="004372C3">
        <w:t xml:space="preserve"> / system level; not household)</w:t>
      </w:r>
    </w:p>
    <w:p w14:paraId="098400CD" w14:textId="473D6278" w:rsidR="009000C9" w:rsidRDefault="009000C9" w:rsidP="009000C9">
      <w:pPr>
        <w:pStyle w:val="Heading2"/>
      </w:pPr>
      <w:r w:rsidRPr="004372C3">
        <w:t>Open access journal payments</w:t>
      </w:r>
      <w:r>
        <w:t xml:space="preserve"> at CRP level</w:t>
      </w:r>
    </w:p>
    <w:p w14:paraId="18F775E1" w14:textId="20841368" w:rsidR="009000C9" w:rsidRPr="009000C9" w:rsidRDefault="009000C9" w:rsidP="009000C9">
      <w:r>
        <w:t xml:space="preserve">LIVESTOCK intends to make all information products open-access, including journal publications. Although much progress has been made to both budgeting for open-access (in journals which charge for this) and in the promotion of open-access journals (including the BMGF initiative) the Program will maintain a small resource to support the open-access of key strategic journal publications. </w:t>
      </w:r>
    </w:p>
    <w:p w14:paraId="2952277A" w14:textId="53D972CB" w:rsidR="00A62D1A" w:rsidRDefault="009000C9" w:rsidP="009000C9">
      <w:pPr>
        <w:pStyle w:val="Heading2"/>
      </w:pPr>
      <w:r>
        <w:t>Budget</w:t>
      </w: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2"/>
        <w:gridCol w:w="1417"/>
      </w:tblGrid>
      <w:tr w:rsidR="004372C3" w:rsidRPr="00342338" w14:paraId="5CDAEB73" w14:textId="77777777" w:rsidTr="004372C3">
        <w:trPr>
          <w:trHeight w:val="274"/>
        </w:trPr>
        <w:tc>
          <w:tcPr>
            <w:tcW w:w="7792" w:type="dxa"/>
            <w:shd w:val="clear" w:color="auto" w:fill="9BC2E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32729" w14:textId="24DB45AC" w:rsidR="004372C3" w:rsidRPr="00342338" w:rsidRDefault="004372C3" w:rsidP="00A62D1A">
            <w:pPr>
              <w:spacing w:after="0"/>
              <w:jc w:val="center"/>
              <w:rPr>
                <w:b/>
                <w:bCs/>
              </w:rPr>
            </w:pPr>
            <w:r w:rsidRPr="00342338">
              <w:rPr>
                <w:b/>
                <w:bCs/>
              </w:rPr>
              <w:t>Description</w:t>
            </w:r>
            <w:r>
              <w:rPr>
                <w:b/>
                <w:bCs/>
              </w:rPr>
              <w:t xml:space="preserve"> (Breakdown)</w:t>
            </w:r>
          </w:p>
        </w:tc>
        <w:tc>
          <w:tcPr>
            <w:tcW w:w="1417" w:type="dxa"/>
            <w:shd w:val="clear" w:color="auto" w:fill="9BC2E6"/>
            <w:vAlign w:val="center"/>
          </w:tcPr>
          <w:p w14:paraId="2B14ED28" w14:textId="5F958CD4" w:rsidR="004372C3" w:rsidRPr="00342338" w:rsidRDefault="004372C3" w:rsidP="00A62D1A">
            <w:pPr>
              <w:spacing w:after="0"/>
              <w:jc w:val="center"/>
              <w:rPr>
                <w:b/>
                <w:bCs/>
              </w:rPr>
            </w:pPr>
            <w:r w:rsidRPr="00342338">
              <w:rPr>
                <w:b/>
                <w:bCs/>
              </w:rPr>
              <w:t>SIF</w:t>
            </w:r>
            <w:r w:rsidR="003E373B">
              <w:rPr>
                <w:b/>
                <w:bCs/>
              </w:rPr>
              <w:t xml:space="preserve"> (USD)</w:t>
            </w:r>
          </w:p>
        </w:tc>
      </w:tr>
      <w:tr w:rsidR="004372C3" w:rsidRPr="00342338" w14:paraId="759209A7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E2E00" w14:textId="54BC0E67" w:rsidR="004372C3" w:rsidRPr="004372C3" w:rsidRDefault="004372C3" w:rsidP="00151233">
            <w:pPr>
              <w:spacing w:after="0"/>
              <w:rPr>
                <w:b/>
              </w:rPr>
            </w:pPr>
            <w:r w:rsidRPr="004372C3">
              <w:rPr>
                <w:b/>
              </w:rPr>
              <w:t>CRP data</w:t>
            </w:r>
            <w:r w:rsidR="00151233">
              <w:rPr>
                <w:b/>
              </w:rPr>
              <w:t>,</w:t>
            </w:r>
            <w:r w:rsidRPr="004372C3">
              <w:rPr>
                <w:b/>
              </w:rPr>
              <w:t xml:space="preserve"> data product </w:t>
            </w:r>
            <w:r w:rsidR="00151233">
              <w:rPr>
                <w:b/>
              </w:rPr>
              <w:t>and information product repositories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8D5E2" w14:textId="5F304191" w:rsidR="004372C3" w:rsidRPr="00087801" w:rsidRDefault="004372C3" w:rsidP="00087801">
            <w:pPr>
              <w:spacing w:after="0"/>
              <w:jc w:val="center"/>
              <w:rPr>
                <w:b/>
              </w:rPr>
            </w:pPr>
            <w:r w:rsidRPr="00087801">
              <w:rPr>
                <w:b/>
              </w:rPr>
              <w:t>3</w:t>
            </w:r>
            <w:r w:rsidR="00087801" w:rsidRPr="00087801">
              <w:rPr>
                <w:b/>
              </w:rPr>
              <w:t>6</w:t>
            </w:r>
            <w:r w:rsidRPr="00087801">
              <w:rPr>
                <w:b/>
              </w:rPr>
              <w:t>,000</w:t>
            </w:r>
          </w:p>
        </w:tc>
      </w:tr>
      <w:tr w:rsidR="00151233" w:rsidRPr="00342338" w14:paraId="063683B3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783E4" w14:textId="0FF8874E" w:rsidR="00151233" w:rsidRPr="004372C3" w:rsidRDefault="003E373B" w:rsidP="00986811">
            <w:pPr>
              <w:spacing w:after="0"/>
              <w:jc w:val="right"/>
              <w:rPr>
                <w:b/>
              </w:rPr>
            </w:pPr>
            <w:r>
              <w:t xml:space="preserve">CRP-level - </w:t>
            </w:r>
            <w:r w:rsidR="00151233">
              <w:t>Inventory of databases, information and data-access platforms and repositories</w:t>
            </w:r>
            <w:r>
              <w:t xml:space="preserve">; </w:t>
            </w:r>
            <w:r w:rsidR="00151233">
              <w:t xml:space="preserve">mechanisms for LIVESTOCK to use the </w:t>
            </w:r>
            <w:r w:rsidR="00986811">
              <w:t xml:space="preserve">ILRI data portal and CGSpace </w:t>
            </w:r>
            <w:r>
              <w:t>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BAC88" w14:textId="30EE726C" w:rsidR="00151233" w:rsidRPr="003E373B" w:rsidRDefault="003E373B" w:rsidP="00087801">
            <w:pPr>
              <w:spacing w:after="0"/>
              <w:jc w:val="center"/>
            </w:pPr>
            <w:r w:rsidRPr="003E373B">
              <w:t>4,000</w:t>
            </w:r>
          </w:p>
        </w:tc>
      </w:tr>
      <w:tr w:rsidR="004372C3" w:rsidRPr="00342338" w14:paraId="18AB4E53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140C" w14:textId="38586F3B" w:rsidR="004372C3" w:rsidRPr="00342338" w:rsidRDefault="00863623" w:rsidP="004372C3">
            <w:pPr>
              <w:spacing w:after="0"/>
              <w:jc w:val="right"/>
            </w:pPr>
            <w:r>
              <w:t xml:space="preserve">ILRI - </w:t>
            </w:r>
            <w:r w:rsidR="006779A7" w:rsidRPr="000F7E60">
              <w:t>Customization</w:t>
            </w:r>
            <w:r w:rsidR="004372C3" w:rsidRPr="000F7E60">
              <w:t xml:space="preserve"> and upgrading </w:t>
            </w:r>
            <w:r w:rsidR="004372C3">
              <w:t>ILRI data portal 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77B20" w14:textId="78FD6D5B" w:rsidR="004372C3" w:rsidRDefault="00087801" w:rsidP="00087801">
            <w:pPr>
              <w:spacing w:after="0"/>
              <w:jc w:val="center"/>
            </w:pPr>
            <w:r>
              <w:t>2,500</w:t>
            </w:r>
          </w:p>
        </w:tc>
      </w:tr>
      <w:tr w:rsidR="004372C3" w:rsidRPr="00342338" w14:paraId="0F439662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22AB4" w14:textId="1597AA71" w:rsidR="004372C3" w:rsidRPr="00342338" w:rsidRDefault="00863623" w:rsidP="004372C3">
            <w:pPr>
              <w:spacing w:after="0"/>
              <w:jc w:val="right"/>
            </w:pPr>
            <w:r>
              <w:t xml:space="preserve">ILRI - </w:t>
            </w:r>
            <w:r w:rsidR="004372C3" w:rsidRPr="000F7E60">
              <w:t xml:space="preserve">Transfer of spatial geoportal to a Spatial Products Portal (CKAN) </w:t>
            </w:r>
            <w:r w:rsidR="004372C3">
              <w:t>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EB4C" w14:textId="07E00C33" w:rsidR="004372C3" w:rsidRDefault="0098258F" w:rsidP="004372C3">
            <w:pPr>
              <w:spacing w:after="0"/>
              <w:jc w:val="center"/>
            </w:pPr>
            <w:r>
              <w:t>8</w:t>
            </w:r>
            <w:r w:rsidR="004372C3">
              <w:t>,000</w:t>
            </w:r>
          </w:p>
        </w:tc>
      </w:tr>
      <w:tr w:rsidR="004372C3" w:rsidRPr="00342338" w14:paraId="492CCCCF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F05F0" w14:textId="76727682" w:rsidR="004372C3" w:rsidRPr="00342338" w:rsidRDefault="00863623" w:rsidP="004372C3">
            <w:pPr>
              <w:spacing w:after="0"/>
              <w:jc w:val="right"/>
            </w:pPr>
            <w:r>
              <w:t xml:space="preserve">ILRI - </w:t>
            </w:r>
            <w:r w:rsidR="004372C3" w:rsidRPr="000F7E60">
              <w:t xml:space="preserve">Improvements to Tools Portal </w:t>
            </w:r>
            <w:r w:rsidR="004372C3">
              <w:t>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EB33" w14:textId="42D12804" w:rsidR="004372C3" w:rsidRDefault="00087801" w:rsidP="004372C3">
            <w:pPr>
              <w:spacing w:after="0"/>
              <w:jc w:val="center"/>
            </w:pPr>
            <w:r>
              <w:t>2,500</w:t>
            </w:r>
          </w:p>
        </w:tc>
      </w:tr>
      <w:tr w:rsidR="00986811" w:rsidRPr="00342338" w14:paraId="7C23CF0D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1447F" w14:textId="4E949B3B" w:rsidR="00986811" w:rsidRDefault="00986811" w:rsidP="006779A7">
            <w:pPr>
              <w:spacing w:after="0"/>
              <w:jc w:val="right"/>
            </w:pPr>
            <w:r>
              <w:t>ILRI - ‘</w:t>
            </w:r>
            <w:r w:rsidR="006779A7">
              <w:t>V</w:t>
            </w:r>
            <w:r>
              <w:t>isual’ search and reporting functions to CGSpace 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D92C0" w14:textId="17313932" w:rsidR="00986811" w:rsidRDefault="0098258F" w:rsidP="004372C3">
            <w:pPr>
              <w:spacing w:after="0"/>
              <w:jc w:val="center"/>
            </w:pPr>
            <w:r>
              <w:t>2,000</w:t>
            </w:r>
          </w:p>
        </w:tc>
      </w:tr>
      <w:tr w:rsidR="00863623" w:rsidRPr="00342338" w14:paraId="430EAD05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DFB83" w14:textId="69EB5E47" w:rsidR="00863623" w:rsidRPr="00342338" w:rsidRDefault="00863623" w:rsidP="00863623">
            <w:pPr>
              <w:spacing w:after="0"/>
              <w:jc w:val="right"/>
            </w:pPr>
            <w:r>
              <w:t>ICARDA – Dataverse development and linkages to MEL systems</w:t>
            </w:r>
            <w:r w:rsidRPr="009A1A22"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CFD9" w14:textId="27BD25A5" w:rsidR="00863623" w:rsidRDefault="003E373B" w:rsidP="00863623">
            <w:pPr>
              <w:spacing w:after="0"/>
              <w:jc w:val="center"/>
            </w:pPr>
            <w:r>
              <w:t>4</w:t>
            </w:r>
            <w:r w:rsidR="0076240E">
              <w:t>,000</w:t>
            </w:r>
          </w:p>
        </w:tc>
      </w:tr>
      <w:tr w:rsidR="00863623" w:rsidRPr="00342338" w14:paraId="1082507E" w14:textId="77777777" w:rsidTr="00187256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B1DD" w14:textId="4F996BC7" w:rsidR="00863623" w:rsidRPr="00342338" w:rsidRDefault="00863623" w:rsidP="00863623">
            <w:pPr>
              <w:spacing w:after="0"/>
              <w:jc w:val="right"/>
            </w:pPr>
            <w:r>
              <w:t xml:space="preserve">ICARDA - </w:t>
            </w:r>
            <w:r w:rsidRPr="009A1A22">
              <w:t>Establish API protocols with Geo-agro to enhance data sharing and use of current geo-spatial tools.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94328" w14:textId="7E34214D" w:rsidR="00863623" w:rsidRDefault="003E373B" w:rsidP="00863623">
            <w:pPr>
              <w:spacing w:after="0"/>
              <w:jc w:val="center"/>
            </w:pPr>
            <w:r>
              <w:t>2</w:t>
            </w:r>
            <w:r w:rsidR="0076240E">
              <w:t>,000</w:t>
            </w:r>
          </w:p>
        </w:tc>
      </w:tr>
      <w:tr w:rsidR="00863623" w:rsidRPr="00342338" w14:paraId="10CF9F0F" w14:textId="77777777" w:rsidTr="00187256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25CF" w14:textId="69D9C7BA" w:rsidR="00863623" w:rsidRPr="00342338" w:rsidRDefault="00087801" w:rsidP="00863623">
            <w:pPr>
              <w:spacing w:after="0"/>
              <w:jc w:val="right"/>
            </w:pPr>
            <w:r>
              <w:t xml:space="preserve">ICARDA - </w:t>
            </w:r>
            <w:r w:rsidR="00863623" w:rsidRPr="009A1A22">
              <w:t>Finalize smart-survey tool for field data collection based on ODK with web-based workflow and approvals.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7DC6B" w14:textId="62D0186A" w:rsidR="00863623" w:rsidRDefault="00087801" w:rsidP="00863623">
            <w:pPr>
              <w:spacing w:after="0"/>
              <w:jc w:val="center"/>
            </w:pPr>
            <w:r>
              <w:t>3,000</w:t>
            </w:r>
          </w:p>
        </w:tc>
      </w:tr>
      <w:tr w:rsidR="00863623" w:rsidRPr="00342338" w14:paraId="5243FA4F" w14:textId="77777777" w:rsidTr="00187256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88478" w14:textId="743676BA" w:rsidR="00863623" w:rsidRPr="00342338" w:rsidRDefault="0076240E" w:rsidP="00863623">
            <w:pPr>
              <w:spacing w:after="0"/>
              <w:jc w:val="right"/>
            </w:pPr>
            <w:bookmarkStart w:id="0" w:name="_GoBack" w:colFirst="0" w:colLast="1"/>
            <w:r>
              <w:t>CIAT activities – to be confirmed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B50B6" w14:textId="64457F49" w:rsidR="00863623" w:rsidRDefault="00087801" w:rsidP="00863623">
            <w:pPr>
              <w:spacing w:after="0"/>
              <w:jc w:val="center"/>
            </w:pPr>
            <w:r>
              <w:t>8,000</w:t>
            </w:r>
          </w:p>
        </w:tc>
      </w:tr>
      <w:tr w:rsidR="004372C3" w:rsidRPr="00342338" w14:paraId="6820A172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9419A" w14:textId="77777777" w:rsidR="004372C3" w:rsidRPr="004372C3" w:rsidRDefault="004372C3" w:rsidP="004372C3">
            <w:pPr>
              <w:spacing w:after="0"/>
              <w:rPr>
                <w:b/>
              </w:rPr>
            </w:pPr>
            <w:r w:rsidRPr="004372C3">
              <w:rPr>
                <w:b/>
              </w:rPr>
              <w:t>Data open access support (to CRP/projects/partners)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7B6E8" w14:textId="7BE58C60" w:rsidR="004372C3" w:rsidRPr="00087801" w:rsidRDefault="00087801" w:rsidP="004372C3">
            <w:pPr>
              <w:spacing w:after="0"/>
              <w:jc w:val="center"/>
              <w:rPr>
                <w:b/>
              </w:rPr>
            </w:pPr>
            <w:r w:rsidRPr="00087801">
              <w:rPr>
                <w:b/>
              </w:rPr>
              <w:t>28</w:t>
            </w:r>
            <w:r w:rsidR="004372C3" w:rsidRPr="00087801">
              <w:rPr>
                <w:b/>
              </w:rPr>
              <w:t>,000</w:t>
            </w:r>
          </w:p>
        </w:tc>
      </w:tr>
      <w:bookmarkEnd w:id="0"/>
      <w:tr w:rsidR="004372C3" w:rsidRPr="00342338" w14:paraId="7E2194BD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7FDE" w14:textId="02C69D51" w:rsidR="004372C3" w:rsidRPr="00342338" w:rsidRDefault="004372C3" w:rsidP="00273CC4">
            <w:pPr>
              <w:spacing w:after="0"/>
              <w:jc w:val="right"/>
            </w:pPr>
            <w:r w:rsidRPr="00C31013">
              <w:t>Documentation</w:t>
            </w:r>
            <w:r w:rsidR="00273CC4">
              <w:t xml:space="preserve">, </w:t>
            </w:r>
            <w:r w:rsidRPr="00C31013">
              <w:t>guidance</w:t>
            </w:r>
            <w:r w:rsidR="00273CC4">
              <w:t xml:space="preserve"> and awareness</w:t>
            </w:r>
            <w:r w:rsidRPr="00C31013">
              <w:t xml:space="preserve"> </w:t>
            </w:r>
            <w:r>
              <w:t>(</w:t>
            </w:r>
            <w:r w:rsidR="0076240E">
              <w:t>partner staff</w:t>
            </w:r>
            <w:r>
              <w:t xml:space="preserve"> or consultant</w:t>
            </w:r>
            <w:r w:rsidR="0076240E">
              <w:t>; utilizing Phase 1 tools</w:t>
            </w:r>
            <w:r>
              <w:t>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C5A50" w14:textId="16F8A567" w:rsidR="004372C3" w:rsidRDefault="00273CC4" w:rsidP="00273CC4">
            <w:pPr>
              <w:spacing w:after="0"/>
              <w:jc w:val="center"/>
            </w:pPr>
            <w:r>
              <w:t>12</w:t>
            </w:r>
            <w:r w:rsidR="004372C3">
              <w:t>,</w:t>
            </w:r>
            <w:r>
              <w:t>0</w:t>
            </w:r>
            <w:r w:rsidR="004372C3">
              <w:t>00</w:t>
            </w:r>
          </w:p>
        </w:tc>
      </w:tr>
      <w:tr w:rsidR="004372C3" w:rsidRPr="00342338" w14:paraId="281FA85B" w14:textId="77777777" w:rsidTr="004372C3">
        <w:trPr>
          <w:trHeight w:val="300"/>
        </w:trPr>
        <w:tc>
          <w:tcPr>
            <w:tcW w:w="77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0854" w14:textId="51E39C1E" w:rsidR="004372C3" w:rsidRPr="00342338" w:rsidRDefault="004372C3" w:rsidP="00087801">
            <w:pPr>
              <w:spacing w:after="0"/>
              <w:jc w:val="right"/>
            </w:pPr>
            <w:r w:rsidRPr="00C31013">
              <w:t xml:space="preserve">Direct support to </w:t>
            </w:r>
            <w:r w:rsidR="00087801">
              <w:t>flagships</w:t>
            </w:r>
            <w:r w:rsidRPr="00C31013">
              <w:t xml:space="preserve"> for example datasets </w:t>
            </w:r>
            <w:r>
              <w:t>(</w:t>
            </w:r>
            <w:r w:rsidR="0076240E">
              <w:t>partner staff</w:t>
            </w:r>
            <w:r>
              <w:t>) – 1 per flagship x partner (@ $1,500)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1C718" w14:textId="57EFB1FE" w:rsidR="004372C3" w:rsidRDefault="004372C3" w:rsidP="004372C3">
            <w:pPr>
              <w:spacing w:after="0"/>
              <w:jc w:val="center"/>
            </w:pPr>
            <w:r>
              <w:t>19,500</w:t>
            </w:r>
          </w:p>
        </w:tc>
      </w:tr>
      <w:tr w:rsidR="004372C3" w:rsidRPr="00342338" w14:paraId="5BADD702" w14:textId="77777777" w:rsidTr="0076240E">
        <w:trPr>
          <w:trHeight w:val="547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E70F9" w14:textId="5295FCFA" w:rsidR="004372C3" w:rsidRPr="0076240E" w:rsidRDefault="004372C3" w:rsidP="0076240E">
            <w:pPr>
              <w:spacing w:after="0"/>
              <w:rPr>
                <w:b/>
              </w:rPr>
            </w:pPr>
            <w:r w:rsidRPr="0076240E">
              <w:rPr>
                <w:b/>
              </w:rPr>
              <w:t>Integration of data across CRP activities to facilitate advanced analysis and meta-analyses</w:t>
            </w:r>
            <w:r w:rsidR="0076240E" w:rsidRPr="0076240E">
              <w:rPr>
                <w:b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2DDA6" w14:textId="394008F2" w:rsidR="004372C3" w:rsidRPr="00087801" w:rsidRDefault="00087801" w:rsidP="004372C3">
            <w:pPr>
              <w:spacing w:after="0"/>
              <w:jc w:val="center"/>
              <w:rPr>
                <w:b/>
              </w:rPr>
            </w:pPr>
            <w:r w:rsidRPr="00087801">
              <w:rPr>
                <w:b/>
              </w:rPr>
              <w:t>26,000</w:t>
            </w:r>
          </w:p>
        </w:tc>
      </w:tr>
      <w:tr w:rsidR="004372C3" w:rsidRPr="00342338" w14:paraId="4C635231" w14:textId="77777777" w:rsidTr="004372C3">
        <w:trPr>
          <w:trHeight w:val="171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6B96E" w14:textId="7C26467E" w:rsidR="004372C3" w:rsidRPr="00342338" w:rsidRDefault="004372C3" w:rsidP="0076240E">
            <w:pPr>
              <w:spacing w:after="0"/>
              <w:jc w:val="right"/>
            </w:pPr>
            <w:r w:rsidRPr="00D34E6C">
              <w:t>Setting-up dat</w:t>
            </w:r>
            <w:r>
              <w:t>abase(s) for Change Monitoring (Consultant)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AEC97" w14:textId="01E4EC6B" w:rsidR="004372C3" w:rsidRPr="00342338" w:rsidRDefault="004372C3" w:rsidP="0076240E">
            <w:pPr>
              <w:spacing w:after="0"/>
              <w:jc w:val="center"/>
            </w:pPr>
            <w:r>
              <w:t>1</w:t>
            </w:r>
            <w:r w:rsidR="0076240E">
              <w:t>0</w:t>
            </w:r>
            <w:r>
              <w:t>,000</w:t>
            </w:r>
          </w:p>
        </w:tc>
      </w:tr>
      <w:tr w:rsidR="004372C3" w:rsidRPr="00342338" w14:paraId="2AD50B58" w14:textId="77777777" w:rsidTr="004372C3">
        <w:trPr>
          <w:trHeight w:val="251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82EC" w14:textId="464E68E9" w:rsidR="004372C3" w:rsidRPr="00342338" w:rsidRDefault="0076240E" w:rsidP="0076240E">
            <w:pPr>
              <w:spacing w:after="0"/>
              <w:jc w:val="right"/>
            </w:pPr>
            <w:r>
              <w:t>Curation of current databases to support baseline and targeting (partner staff)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82C1" w14:textId="3D200BDE" w:rsidR="004372C3" w:rsidRPr="00342338" w:rsidRDefault="0076240E" w:rsidP="004372C3">
            <w:pPr>
              <w:spacing w:after="0"/>
              <w:jc w:val="center"/>
            </w:pPr>
            <w:r>
              <w:t>6,000</w:t>
            </w:r>
          </w:p>
        </w:tc>
      </w:tr>
      <w:tr w:rsidR="0076240E" w:rsidRPr="00342338" w14:paraId="7A7B7C66" w14:textId="77777777" w:rsidTr="0077182F">
        <w:trPr>
          <w:trHeight w:val="251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9814" w14:textId="6F8986A4" w:rsidR="0076240E" w:rsidRDefault="0076240E" w:rsidP="0076240E">
            <w:pPr>
              <w:spacing w:after="0"/>
              <w:jc w:val="right"/>
            </w:pPr>
            <w:r w:rsidRPr="0076240E">
              <w:t xml:space="preserve">Integration of data for CRP country characterization for foresight and targeting / baselining (ILRI) 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3F42E" w14:textId="76ABB839" w:rsidR="0076240E" w:rsidRPr="00342338" w:rsidRDefault="00087801" w:rsidP="0076240E">
            <w:pPr>
              <w:spacing w:after="0"/>
              <w:jc w:val="center"/>
            </w:pPr>
            <w:r>
              <w:t>10</w:t>
            </w:r>
            <w:r w:rsidR="0076240E">
              <w:t>,000</w:t>
            </w:r>
          </w:p>
        </w:tc>
      </w:tr>
      <w:tr w:rsidR="003E373B" w:rsidRPr="00342338" w14:paraId="07070E63" w14:textId="77777777" w:rsidTr="00EB2849">
        <w:trPr>
          <w:trHeight w:val="251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6BC53" w14:textId="2DDC2D49" w:rsidR="003E373B" w:rsidRPr="0076240E" w:rsidRDefault="003E373B" w:rsidP="003E373B">
            <w:pPr>
              <w:spacing w:after="0"/>
              <w:jc w:val="right"/>
            </w:pPr>
            <w:r w:rsidRPr="004372C3">
              <w:rPr>
                <w:b/>
              </w:rPr>
              <w:t>Open access journal payments</w:t>
            </w:r>
            <w:r>
              <w:rPr>
                <w:b/>
              </w:rPr>
              <w:t xml:space="preserve"> at CRP level (not funded by projects, bilaterals)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A1E8" w14:textId="72C21BF0" w:rsidR="003E373B" w:rsidRDefault="003E373B" w:rsidP="003E373B">
            <w:pPr>
              <w:spacing w:after="0"/>
              <w:jc w:val="center"/>
            </w:pPr>
            <w:r w:rsidRPr="00087801">
              <w:rPr>
                <w:b/>
              </w:rPr>
              <w:t>20,000</w:t>
            </w:r>
          </w:p>
        </w:tc>
      </w:tr>
      <w:tr w:rsidR="003E373B" w:rsidRPr="00342338" w14:paraId="43294B06" w14:textId="77777777" w:rsidTr="00EB2849">
        <w:trPr>
          <w:trHeight w:val="251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8981" w14:textId="758CA9D2" w:rsidR="003E373B" w:rsidRPr="0076240E" w:rsidRDefault="003E373B" w:rsidP="003E373B">
            <w:pPr>
              <w:spacing w:after="0"/>
              <w:jc w:val="right"/>
            </w:pPr>
            <w:r>
              <w:t>@ $2,500 per publication x 8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E53D" w14:textId="305BDCAB" w:rsidR="003E373B" w:rsidRDefault="003E373B" w:rsidP="003E373B">
            <w:pPr>
              <w:spacing w:after="0"/>
              <w:jc w:val="center"/>
            </w:pPr>
            <w:r>
              <w:t>20,000</w:t>
            </w:r>
          </w:p>
        </w:tc>
      </w:tr>
      <w:tr w:rsidR="003E373B" w:rsidRPr="00342338" w14:paraId="75FE0CB3" w14:textId="77777777" w:rsidTr="004372C3">
        <w:trPr>
          <w:trHeight w:val="227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B6BE" w14:textId="39ECA42E" w:rsidR="003E373B" w:rsidRPr="004372C3" w:rsidRDefault="003E373B" w:rsidP="003E373B">
            <w:pPr>
              <w:spacing w:after="0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256F1" w14:textId="77777777" w:rsidR="003E373B" w:rsidRPr="00342338" w:rsidRDefault="003E373B" w:rsidP="003E373B">
            <w:pPr>
              <w:spacing w:after="0"/>
              <w:jc w:val="center"/>
            </w:pPr>
          </w:p>
        </w:tc>
      </w:tr>
      <w:tr w:rsidR="003E373B" w:rsidRPr="00342338" w14:paraId="0DF1BF37" w14:textId="77777777" w:rsidTr="004372C3">
        <w:trPr>
          <w:trHeight w:val="227"/>
        </w:trPr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2FBE0" w14:textId="4F2D5DDE" w:rsidR="003E373B" w:rsidRPr="004372C3" w:rsidRDefault="003E373B" w:rsidP="003E373B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Total SIF request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768C" w14:textId="1A76EE02" w:rsidR="003E373B" w:rsidRPr="0098258F" w:rsidRDefault="003E373B" w:rsidP="003E373B">
            <w:pPr>
              <w:spacing w:after="0"/>
              <w:jc w:val="center"/>
              <w:rPr>
                <w:b/>
              </w:rPr>
            </w:pPr>
            <w:r w:rsidRPr="0098258F">
              <w:rPr>
                <w:b/>
              </w:rPr>
              <w:t>$110,000</w:t>
            </w:r>
          </w:p>
        </w:tc>
      </w:tr>
    </w:tbl>
    <w:p w14:paraId="0389E304" w14:textId="77777777" w:rsidR="00A62D1A" w:rsidRPr="006779A7" w:rsidRDefault="00A62D1A">
      <w:pPr>
        <w:rPr>
          <w:color w:val="1F4E79" w:themeColor="accent1" w:themeShade="80"/>
        </w:rPr>
      </w:pPr>
    </w:p>
    <w:p w14:paraId="7114BECD" w14:textId="30D1DD4E" w:rsidR="00986811" w:rsidRPr="006779A7" w:rsidRDefault="00986811">
      <w:pPr>
        <w:rPr>
          <w:color w:val="1F4E79" w:themeColor="accent1" w:themeShade="80"/>
        </w:rPr>
      </w:pPr>
      <w:r w:rsidRPr="006779A7">
        <w:rPr>
          <w:color w:val="1F4E79" w:themeColor="accent1" w:themeShade="80"/>
        </w:rPr>
        <w:t>Note we will be requesting additional resources for some activities</w:t>
      </w:r>
      <w:r w:rsidR="0098258F" w:rsidRPr="006779A7">
        <w:rPr>
          <w:color w:val="1F4E79" w:themeColor="accent1" w:themeShade="80"/>
        </w:rPr>
        <w:t xml:space="preserve"> defined above and new activities</w:t>
      </w:r>
      <w:r w:rsidRPr="006779A7">
        <w:rPr>
          <w:color w:val="1F4E79" w:themeColor="accent1" w:themeShade="80"/>
        </w:rPr>
        <w:t xml:space="preserve"> from the Big Data Platform (Module 1) where the focus will be more on CGIAR-level</w:t>
      </w:r>
      <w:r w:rsidR="0098258F" w:rsidRPr="006779A7">
        <w:rPr>
          <w:color w:val="1F4E79" w:themeColor="accent1" w:themeShade="80"/>
        </w:rPr>
        <w:t xml:space="preserve"> driven</w:t>
      </w:r>
      <w:r w:rsidR="006779A7">
        <w:rPr>
          <w:color w:val="1F4E79" w:themeColor="accent1" w:themeShade="80"/>
        </w:rPr>
        <w:t xml:space="preserve"> plans for a</w:t>
      </w:r>
      <w:r w:rsidRPr="006779A7">
        <w:rPr>
          <w:color w:val="1F4E79" w:themeColor="accent1" w:themeShade="80"/>
        </w:rPr>
        <w:t xml:space="preserve"> </w:t>
      </w:r>
      <w:r w:rsidR="0098258F" w:rsidRPr="006779A7">
        <w:rPr>
          <w:color w:val="1F4E79" w:themeColor="accent1" w:themeShade="80"/>
        </w:rPr>
        <w:t>data</w:t>
      </w:r>
      <w:r w:rsidR="006779A7">
        <w:rPr>
          <w:color w:val="1F4E79" w:themeColor="accent1" w:themeShade="80"/>
        </w:rPr>
        <w:t xml:space="preserve"> / product</w:t>
      </w:r>
      <w:r w:rsidR="0098258F" w:rsidRPr="006779A7">
        <w:rPr>
          <w:color w:val="1F4E79" w:themeColor="accent1" w:themeShade="80"/>
        </w:rPr>
        <w:t xml:space="preserve"> </w:t>
      </w:r>
      <w:r w:rsidRPr="006779A7">
        <w:rPr>
          <w:color w:val="1F4E79" w:themeColor="accent1" w:themeShade="80"/>
        </w:rPr>
        <w:t>‘Harvester’</w:t>
      </w:r>
      <w:r w:rsidR="006779A7">
        <w:rPr>
          <w:color w:val="1F4E79" w:themeColor="accent1" w:themeShade="80"/>
        </w:rPr>
        <w:t>. New activities may</w:t>
      </w:r>
      <w:r w:rsidR="006779A7" w:rsidRPr="006779A7">
        <w:rPr>
          <w:color w:val="1F4E79" w:themeColor="accent1" w:themeShade="80"/>
        </w:rPr>
        <w:t xml:space="preserve"> include:</w:t>
      </w:r>
    </w:p>
    <w:p w14:paraId="5502F9D4" w14:textId="77777777" w:rsidR="004004B8" w:rsidRPr="006779A7" w:rsidRDefault="004004B8" w:rsidP="004004B8">
      <w:pPr>
        <w:pStyle w:val="ListParagraph"/>
        <w:numPr>
          <w:ilvl w:val="0"/>
          <w:numId w:val="6"/>
        </w:numPr>
        <w:ind w:left="720"/>
        <w:rPr>
          <w:color w:val="1F4E79" w:themeColor="accent1" w:themeShade="80"/>
        </w:rPr>
      </w:pPr>
      <w:r w:rsidRPr="006779A7">
        <w:rPr>
          <w:color w:val="1F4E79" w:themeColor="accent1" w:themeShade="80"/>
        </w:rPr>
        <w:t xml:space="preserve">Create a global LIVESTOCK data and data products meta-repository/portal across the five strategic partners. This ‘may’ be a subset within the CGIAR big data harvester or standalone. It will have advanced, interactive, ‘visual’ user-oriented functionalities </w:t>
      </w:r>
    </w:p>
    <w:p w14:paraId="43C8007D" w14:textId="77777777" w:rsidR="006779A7" w:rsidRPr="006779A7" w:rsidRDefault="004004B8" w:rsidP="006779A7">
      <w:pPr>
        <w:pStyle w:val="ListParagraph"/>
        <w:numPr>
          <w:ilvl w:val="0"/>
          <w:numId w:val="6"/>
        </w:numPr>
        <w:ind w:left="720"/>
        <w:rPr>
          <w:color w:val="1F4E79" w:themeColor="accent1" w:themeShade="80"/>
        </w:rPr>
      </w:pPr>
      <w:r w:rsidRPr="006779A7">
        <w:rPr>
          <w:color w:val="1F4E79" w:themeColor="accent1" w:themeShade="80"/>
        </w:rPr>
        <w:t>Define workflows by which significant existing data resources in the inventory (above) can best be made globally accessible through LIVESTOCK or other CGIAR data and information harvesting and aggregation systems.</w:t>
      </w:r>
    </w:p>
    <w:p w14:paraId="3A867736" w14:textId="6AC79133" w:rsidR="004004B8" w:rsidRPr="006779A7" w:rsidRDefault="004004B8" w:rsidP="006779A7">
      <w:pPr>
        <w:pStyle w:val="ListParagraph"/>
        <w:numPr>
          <w:ilvl w:val="0"/>
          <w:numId w:val="6"/>
        </w:numPr>
        <w:ind w:left="720"/>
        <w:rPr>
          <w:color w:val="1F4E79" w:themeColor="accent1" w:themeShade="80"/>
        </w:rPr>
      </w:pPr>
      <w:r w:rsidRPr="006779A7">
        <w:rPr>
          <w:color w:val="1F4E79" w:themeColor="accent1" w:themeShade="80"/>
        </w:rPr>
        <w:t>Expose content of strategic partner repositories to proposed CGIAR big data harvester</w:t>
      </w:r>
    </w:p>
    <w:p w14:paraId="13DDAEC5" w14:textId="77777777" w:rsidR="004004B8" w:rsidRDefault="004004B8" w:rsidP="006779A7"/>
    <w:p w14:paraId="4167415B" w14:textId="251075F4" w:rsidR="00A62D1A" w:rsidRDefault="00A62D1A">
      <w:r>
        <w:br w:type="textWrapping" w:clear="all"/>
      </w:r>
    </w:p>
    <w:sectPr w:rsidR="00A62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D1D5E"/>
    <w:multiLevelType w:val="hybridMultilevel"/>
    <w:tmpl w:val="D60648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0A02DA"/>
    <w:multiLevelType w:val="hybridMultilevel"/>
    <w:tmpl w:val="4BCA07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A84ADC"/>
    <w:multiLevelType w:val="hybridMultilevel"/>
    <w:tmpl w:val="2C8C86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A20F01"/>
    <w:multiLevelType w:val="hybridMultilevel"/>
    <w:tmpl w:val="7870E3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9F2229"/>
    <w:multiLevelType w:val="hybridMultilevel"/>
    <w:tmpl w:val="566263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F144A1"/>
    <w:multiLevelType w:val="hybridMultilevel"/>
    <w:tmpl w:val="13AAD9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38"/>
    <w:rsid w:val="000270FC"/>
    <w:rsid w:val="00087801"/>
    <w:rsid w:val="00111FAF"/>
    <w:rsid w:val="00151233"/>
    <w:rsid w:val="00233227"/>
    <w:rsid w:val="00273CC4"/>
    <w:rsid w:val="002E3517"/>
    <w:rsid w:val="002E66BA"/>
    <w:rsid w:val="002F15F1"/>
    <w:rsid w:val="00342338"/>
    <w:rsid w:val="003E373B"/>
    <w:rsid w:val="004004B8"/>
    <w:rsid w:val="004372C3"/>
    <w:rsid w:val="004A76B0"/>
    <w:rsid w:val="004C0982"/>
    <w:rsid w:val="00535E26"/>
    <w:rsid w:val="005C46DC"/>
    <w:rsid w:val="00632690"/>
    <w:rsid w:val="00634B44"/>
    <w:rsid w:val="006779A7"/>
    <w:rsid w:val="00692A19"/>
    <w:rsid w:val="0076240E"/>
    <w:rsid w:val="00781236"/>
    <w:rsid w:val="007923DE"/>
    <w:rsid w:val="007A057D"/>
    <w:rsid w:val="007A48D9"/>
    <w:rsid w:val="007B3F36"/>
    <w:rsid w:val="00863623"/>
    <w:rsid w:val="009000C9"/>
    <w:rsid w:val="009156E1"/>
    <w:rsid w:val="0098258F"/>
    <w:rsid w:val="00986811"/>
    <w:rsid w:val="009A5D47"/>
    <w:rsid w:val="00A62D1A"/>
    <w:rsid w:val="00B726A3"/>
    <w:rsid w:val="00C76C16"/>
    <w:rsid w:val="00CD64BD"/>
    <w:rsid w:val="00D24CD1"/>
    <w:rsid w:val="00D7543C"/>
    <w:rsid w:val="00D96E76"/>
    <w:rsid w:val="00DE0FB7"/>
    <w:rsid w:val="00E2748E"/>
    <w:rsid w:val="00EF5E5C"/>
    <w:rsid w:val="00F2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D2E45"/>
  <w15:chartTrackingRefBased/>
  <w15:docId w15:val="{A207AE87-3E5C-415F-8AD4-FFBD44EB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6E1"/>
    <w:pPr>
      <w:keepNext/>
      <w:keepLines/>
      <w:spacing w:before="120" w:after="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D47"/>
    <w:pPr>
      <w:keepNext/>
      <w:keepLines/>
      <w:spacing w:before="120" w:after="120"/>
      <w:outlineLvl w:val="1"/>
    </w:pPr>
    <w:rPr>
      <w:rFonts w:eastAsiaTheme="majorEastAsia" w:cstheme="majorBidi"/>
      <w:color w:val="1F4E79" w:themeColor="accent1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42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3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3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3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33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F1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2A1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56E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A5D47"/>
    <w:rPr>
      <w:rFonts w:eastAsiaTheme="majorEastAsia" w:cstheme="majorBidi"/>
      <w:color w:val="1F4E79" w:themeColor="accent1" w:themeShade="8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0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ilri" TargetMode="External"/><Relationship Id="rId13" Type="http://schemas.openxmlformats.org/officeDocument/2006/relationships/hyperlink" Target="https://dataverse.harvard.edu/dataverse/CIA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ata.ilri.org/tools/" TargetMode="External"/><Relationship Id="rId12" Type="http://schemas.openxmlformats.org/officeDocument/2006/relationships/hyperlink" Target="http://geoagro.icarda.or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lu.se/en/site/library/publish-and-analyse/open-acces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ata.ilri.org/portal/" TargetMode="External"/><Relationship Id="rId11" Type="http://schemas.openxmlformats.org/officeDocument/2006/relationships/hyperlink" Target="https://dataverse.harvard.edu/dataverse.xhtml?alias=cacprogra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ataverse.harvard.edu/dataverse/CIAT" TargetMode="External"/><Relationship Id="rId10" Type="http://schemas.openxmlformats.org/officeDocument/2006/relationships/hyperlink" Target="http://geoagro.icarda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taverse.harvard.edu/dataverse.xhtml?alias=cacprogram" TargetMode="External"/><Relationship Id="rId14" Type="http://schemas.openxmlformats.org/officeDocument/2006/relationships/hyperlink" Target="http://ciat.cgiar.org/tool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1414</Words>
  <Characters>8062</Characters>
  <Application>Microsoft Office Word</Application>
  <DocSecurity>4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Poole, Jane (ILRI - ICRAF)</dc:creator>
  <cp:keywords/>
  <dc:description/>
  <cp:lastModifiedBy>Ndungu, Esther (ILRI)</cp:lastModifiedBy>
  <cp:revision>2</cp:revision>
  <dcterms:created xsi:type="dcterms:W3CDTF">2017-08-24T11:17:00Z</dcterms:created>
  <dcterms:modified xsi:type="dcterms:W3CDTF">2017-08-24T11:17:00Z</dcterms:modified>
</cp:coreProperties>
</file>